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605ABC" w:rsidRPr="00605ABC">
        <w:rPr>
          <w:b/>
          <w:sz w:val="32"/>
        </w:rPr>
        <w:t>10: Erschließung von neuen Lernorten und Lernräumen</w:t>
      </w:r>
    </w:p>
    <w:p w:rsidR="00C34368" w:rsidRDefault="00605ABC" w:rsidP="00C34368">
      <w:pPr>
        <w:rPr>
          <w:lang w:val="es-ES"/>
        </w:rPr>
      </w:pPr>
      <w:r w:rsidRPr="00605ABC">
        <w:rPr>
          <w:lang w:val="es-ES"/>
        </w:rPr>
        <w:t>Dr. Diana Feick</w:t>
      </w:r>
      <w:r w:rsidRPr="00605ABC">
        <w:rPr>
          <w:lang w:val="es-ES"/>
        </w:rPr>
        <w:tab/>
      </w:r>
      <w:r w:rsidR="00AA4474" w:rsidRPr="00605ABC">
        <w:rPr>
          <w:lang w:val="es-ES"/>
        </w:rPr>
        <w:tab/>
      </w:r>
      <w:r w:rsidR="00D80162" w:rsidRPr="00605ABC">
        <w:rPr>
          <w:lang w:val="es-ES"/>
        </w:rPr>
        <w:tab/>
        <w:t>(</w:t>
      </w:r>
      <w:r w:rsidRPr="00605ABC">
        <w:rPr>
          <w:lang w:val="es-ES"/>
        </w:rPr>
        <w:t>diana.feick@auckland.ac.nz</w:t>
      </w:r>
      <w:r w:rsidR="00D80162" w:rsidRPr="00605ABC">
        <w:rPr>
          <w:lang w:val="es-ES"/>
        </w:rPr>
        <w:t>)</w:t>
      </w:r>
      <w:r w:rsidR="00C34368" w:rsidRPr="00605ABC">
        <w:rPr>
          <w:lang w:val="es-ES"/>
        </w:rPr>
        <w:br/>
      </w:r>
      <w:r w:rsidRPr="00605ABC">
        <w:rPr>
          <w:lang w:val="es-ES"/>
        </w:rPr>
        <w:t>Prof. Dr. Jutta Rymarczyk</w:t>
      </w:r>
      <w:r w:rsidR="00A55B84" w:rsidRPr="00605ABC">
        <w:rPr>
          <w:lang w:val="es-ES"/>
        </w:rPr>
        <w:tab/>
      </w:r>
      <w:r w:rsidR="00C34368" w:rsidRPr="00605ABC">
        <w:rPr>
          <w:lang w:val="es-ES"/>
        </w:rPr>
        <w:t>(</w:t>
      </w:r>
      <w:r w:rsidRPr="00605ABC">
        <w:rPr>
          <w:lang w:val="es-ES"/>
        </w:rPr>
        <w:t>rymarczy@ph-heidelberg.de</w:t>
      </w:r>
      <w:r w:rsidR="00C34368" w:rsidRPr="00605ABC">
        <w:rPr>
          <w:lang w:val="es-ES"/>
        </w:rPr>
        <w:t>)</w:t>
      </w:r>
    </w:p>
    <w:p w:rsidR="00605ABC" w:rsidRPr="00605ABC" w:rsidRDefault="00605ABC" w:rsidP="00C34368">
      <w:pPr>
        <w:rPr>
          <w:lang w:val="es-ES"/>
        </w:rPr>
      </w:pPr>
    </w:p>
    <w:p w:rsidR="00015845" w:rsidRPr="00015845" w:rsidRDefault="00804B1B" w:rsidP="00015845">
      <w:pPr>
        <w:rPr>
          <w:b/>
        </w:rPr>
      </w:pPr>
      <w:r>
        <w:rPr>
          <w:b/>
        </w:rPr>
        <w:t xml:space="preserve">Sektion </w:t>
      </w:r>
      <w:r w:rsidR="00605ABC" w:rsidRPr="00605ABC">
        <w:rPr>
          <w:b/>
        </w:rPr>
        <w:t>10: Erschließung von neuen Lernorten und Lernräumen</w:t>
      </w:r>
    </w:p>
    <w:p w:rsidR="00605ABC" w:rsidRDefault="00605ABC" w:rsidP="00605ABC">
      <w:pPr>
        <w:rPr>
          <w:rFonts w:cs="Calibri"/>
        </w:rPr>
      </w:pPr>
      <w:r>
        <w:rPr>
          <w:rFonts w:cs="Calibri"/>
        </w:rPr>
        <w:t>In unserer Sektion wollen wir uns Lernorten widmen, die außerhalb des traditionellen Klassenunterrichts liegen. Diese außerschulischen Lernorte lassen sich grundsätzlich in zwei Gruppen unterteilen, und zwar in konventionelle (</w:t>
      </w:r>
      <w:proofErr w:type="spellStart"/>
      <w:r>
        <w:rPr>
          <w:rFonts w:cs="Calibri"/>
          <w:i/>
          <w:iCs/>
        </w:rPr>
        <w:t>brick</w:t>
      </w:r>
      <w:proofErr w:type="spellEnd"/>
      <w:r>
        <w:rPr>
          <w:rFonts w:cs="Calibri"/>
          <w:i/>
          <w:iCs/>
        </w:rPr>
        <w:t xml:space="preserve"> </w:t>
      </w:r>
      <w:proofErr w:type="spellStart"/>
      <w:r>
        <w:rPr>
          <w:rFonts w:cs="Calibri"/>
          <w:i/>
          <w:iCs/>
        </w:rPr>
        <w:t>and</w:t>
      </w:r>
      <w:proofErr w:type="spellEnd"/>
      <w:r>
        <w:rPr>
          <w:rFonts w:cs="Calibri"/>
          <w:i/>
          <w:iCs/>
        </w:rPr>
        <w:t xml:space="preserve"> </w:t>
      </w:r>
      <w:proofErr w:type="spellStart"/>
      <w:r>
        <w:rPr>
          <w:rFonts w:cs="Calibri"/>
          <w:i/>
          <w:iCs/>
        </w:rPr>
        <w:t>mortar</w:t>
      </w:r>
      <w:proofErr w:type="spellEnd"/>
      <w:r>
        <w:rPr>
          <w:rFonts w:cs="Calibri"/>
          <w:i/>
          <w:iCs/>
        </w:rPr>
        <w:t xml:space="preserve"> </w:t>
      </w:r>
      <w:proofErr w:type="spellStart"/>
      <w:r>
        <w:rPr>
          <w:rFonts w:cs="Calibri"/>
          <w:i/>
          <w:iCs/>
        </w:rPr>
        <w:t>places</w:t>
      </w:r>
      <w:proofErr w:type="spellEnd"/>
      <w:r>
        <w:rPr>
          <w:rFonts w:cs="Calibri"/>
        </w:rPr>
        <w:t xml:space="preserve">) und in virtuelle Orte. </w:t>
      </w:r>
    </w:p>
    <w:p w:rsidR="00605ABC" w:rsidRDefault="00605ABC" w:rsidP="00605ABC">
      <w:pPr>
        <w:rPr>
          <w:rFonts w:cs="Calibri"/>
        </w:rPr>
      </w:pPr>
      <w:r>
        <w:rPr>
          <w:rFonts w:cs="Calibri"/>
        </w:rPr>
        <w:t>Zu den konventionellen Lernorten zählen wir Einrichtungen wie Museen, Theater, Kinos etc., die zwar nicht primär auf Lernen ausgerichtet sind, die aber diese Funktion durch museums- oder theaterdidaktische Angebote durchaus aufweisen können und das entsprechende Potenzial besitzen. Trotz der englischen Bezeichnung „</w:t>
      </w:r>
      <w:proofErr w:type="spellStart"/>
      <w:r>
        <w:rPr>
          <w:rFonts w:cs="Calibri"/>
          <w:i/>
          <w:iCs/>
        </w:rPr>
        <w:t>brick</w:t>
      </w:r>
      <w:proofErr w:type="spellEnd"/>
      <w:r>
        <w:rPr>
          <w:rFonts w:cs="Calibri"/>
          <w:i/>
          <w:iCs/>
        </w:rPr>
        <w:t xml:space="preserve"> </w:t>
      </w:r>
      <w:proofErr w:type="spellStart"/>
      <w:r>
        <w:rPr>
          <w:rFonts w:cs="Calibri"/>
          <w:i/>
          <w:iCs/>
        </w:rPr>
        <w:t>and</w:t>
      </w:r>
      <w:proofErr w:type="spellEnd"/>
      <w:r>
        <w:rPr>
          <w:rFonts w:cs="Calibri"/>
          <w:i/>
          <w:iCs/>
        </w:rPr>
        <w:t xml:space="preserve"> </w:t>
      </w:r>
      <w:proofErr w:type="spellStart"/>
      <w:r>
        <w:rPr>
          <w:rFonts w:cs="Calibri"/>
          <w:i/>
          <w:iCs/>
        </w:rPr>
        <w:t>mortar</w:t>
      </w:r>
      <w:proofErr w:type="spellEnd"/>
      <w:r>
        <w:rPr>
          <w:rFonts w:cs="Calibri"/>
          <w:i/>
          <w:iCs/>
        </w:rPr>
        <w:t xml:space="preserve"> </w:t>
      </w:r>
      <w:proofErr w:type="spellStart"/>
      <w:r>
        <w:rPr>
          <w:rFonts w:cs="Calibri"/>
          <w:i/>
          <w:iCs/>
        </w:rPr>
        <w:t>places</w:t>
      </w:r>
      <w:proofErr w:type="spellEnd"/>
      <w:r>
        <w:rPr>
          <w:rFonts w:cs="Calibri"/>
        </w:rPr>
        <w:t xml:space="preserve">“, die diese Orte von den virtuellen absetzt, sind dieser ersten Gruppe auch Orte außerhalb von Gebäuden zuzuordnen, womit Zoos, Parks, Wälder, Strände, kurz, Landschaften unterschiedlicher Art, für Lernen genutzt werden können. Es ist der Frage „Umbrüche durch Digitalisierung?“ im Titel des 28. DGFF-Kongresses geschuldet, dass diese Gruppe in unserer Sektion nur im Verbund mit virtuellen Lernräumen berücksichtigt werden kann. Zu diskutierende Punkte sind hier etwa die Möglichkeiten der Einbindung der außerschulischen Lernräume in den regulären Unterricht durch die Vor- und Nachbereitung des dort stattfindenden Unterrichts mittels digitaler Medien, oder wie man digitale Medien vor Ort für </w:t>
      </w:r>
      <w:proofErr w:type="spellStart"/>
      <w:r w:rsidRPr="009E2DA8">
        <w:rPr>
          <w:rFonts w:cs="Calibri"/>
          <w:i/>
        </w:rPr>
        <w:t>while</w:t>
      </w:r>
      <w:proofErr w:type="spellEnd"/>
      <w:r w:rsidRPr="009E2DA8">
        <w:rPr>
          <w:rFonts w:cs="Calibri"/>
          <w:i/>
        </w:rPr>
        <w:t>-tasks</w:t>
      </w:r>
      <w:r>
        <w:rPr>
          <w:rFonts w:cs="Calibri"/>
        </w:rPr>
        <w:t xml:space="preserve"> nutzen bzw. entstehende Texte später in </w:t>
      </w:r>
      <w:r w:rsidRPr="009E2DA8">
        <w:rPr>
          <w:rFonts w:cs="Calibri"/>
          <w:i/>
        </w:rPr>
        <w:t>post-tasks</w:t>
      </w:r>
      <w:r>
        <w:rPr>
          <w:rFonts w:cs="Calibri"/>
        </w:rPr>
        <w:t xml:space="preserve"> wieder aufgreifen kann.</w:t>
      </w:r>
    </w:p>
    <w:p w:rsidR="00605ABC" w:rsidRDefault="00605ABC" w:rsidP="00605ABC">
      <w:pPr>
        <w:rPr>
          <w:rFonts w:cs="Calibri"/>
        </w:rPr>
      </w:pPr>
      <w:r>
        <w:rPr>
          <w:rFonts w:cs="Calibri"/>
        </w:rPr>
        <w:t xml:space="preserve">Die zweite Gruppe, die der virtuellen Lernräume, kann ohne Verbindung zu den konventionellen / real existierenden Lernorten behandelt werden. Von Interesse sind hier z.B. </w:t>
      </w:r>
      <w:proofErr w:type="spellStart"/>
      <w:r>
        <w:rPr>
          <w:rFonts w:cs="Calibri"/>
          <w:i/>
          <w:iCs/>
        </w:rPr>
        <w:t>blended</w:t>
      </w:r>
      <w:proofErr w:type="spellEnd"/>
      <w:r>
        <w:rPr>
          <w:rFonts w:cs="Calibri"/>
          <w:i/>
          <w:iCs/>
        </w:rPr>
        <w:t xml:space="preserve"> </w:t>
      </w:r>
      <w:proofErr w:type="spellStart"/>
      <w:r>
        <w:rPr>
          <w:rFonts w:cs="Calibri"/>
          <w:i/>
          <w:iCs/>
        </w:rPr>
        <w:t>learning</w:t>
      </w:r>
      <w:proofErr w:type="spellEnd"/>
      <w:r>
        <w:rPr>
          <w:rFonts w:cs="Calibri"/>
        </w:rPr>
        <w:t xml:space="preserve">-Szenarien, aber auch all die Bereiche von CALL und MALL, die sich des Internets bedienen. Das Feld möglicher Vortragsthemen in dieser Gruppe ist weit: </w:t>
      </w:r>
    </w:p>
    <w:p w:rsidR="00605ABC" w:rsidRDefault="00605ABC" w:rsidP="009E2DA8">
      <w:pPr>
        <w:pStyle w:val="FarbigeListe-Akzent11"/>
        <w:numPr>
          <w:ilvl w:val="0"/>
          <w:numId w:val="5"/>
        </w:numPr>
        <w:pBdr>
          <w:top w:val="nil"/>
          <w:left w:val="nil"/>
          <w:bottom w:val="nil"/>
          <w:right w:val="nil"/>
          <w:between w:val="nil"/>
          <w:bar w:val="nil"/>
        </w:pBdr>
        <w:spacing w:after="0" w:line="240" w:lineRule="auto"/>
        <w:contextualSpacing w:val="0"/>
        <w:rPr>
          <w:rFonts w:cs="Calibri"/>
        </w:rPr>
      </w:pPr>
      <w:r>
        <w:rPr>
          <w:rFonts w:cs="Calibri"/>
        </w:rPr>
        <w:t xml:space="preserve">Nutzung im Internet angebotener digitaler Wörterbücher </w:t>
      </w:r>
    </w:p>
    <w:p w:rsidR="00605ABC" w:rsidRDefault="00605ABC" w:rsidP="009E2DA8">
      <w:pPr>
        <w:pStyle w:val="FarbigeListe-Akzent11"/>
        <w:numPr>
          <w:ilvl w:val="0"/>
          <w:numId w:val="5"/>
        </w:numPr>
        <w:pBdr>
          <w:top w:val="nil"/>
          <w:left w:val="nil"/>
          <w:bottom w:val="nil"/>
          <w:right w:val="nil"/>
          <w:between w:val="nil"/>
          <w:bar w:val="nil"/>
        </w:pBdr>
        <w:spacing w:after="0" w:line="240" w:lineRule="auto"/>
        <w:contextualSpacing w:val="0"/>
        <w:rPr>
          <w:rFonts w:cs="Calibri"/>
        </w:rPr>
      </w:pPr>
      <w:r>
        <w:rPr>
          <w:rFonts w:cs="Calibri"/>
        </w:rPr>
        <w:t>ein Fokus auf Mehrsprachigkeit durch digitale Medien</w:t>
      </w:r>
    </w:p>
    <w:p w:rsidR="00605ABC" w:rsidRDefault="00605ABC" w:rsidP="009E2DA8">
      <w:pPr>
        <w:pStyle w:val="FarbigeListe-Akzent11"/>
        <w:numPr>
          <w:ilvl w:val="0"/>
          <w:numId w:val="5"/>
        </w:numPr>
        <w:pBdr>
          <w:top w:val="nil"/>
          <w:left w:val="nil"/>
          <w:bottom w:val="nil"/>
          <w:right w:val="nil"/>
          <w:between w:val="nil"/>
          <w:bar w:val="nil"/>
        </w:pBdr>
        <w:spacing w:after="0" w:line="240" w:lineRule="auto"/>
        <w:contextualSpacing w:val="0"/>
        <w:rPr>
          <w:rFonts w:cs="Calibri"/>
        </w:rPr>
      </w:pPr>
      <w:r>
        <w:rPr>
          <w:rFonts w:cs="Calibri"/>
        </w:rPr>
        <w:t>mögliche Reduktion der Betreuungsdichte, d.h. häufigere Kontakte von Lehrenden und Lernenden, durch den Einsatz digitaler Medien</w:t>
      </w:r>
    </w:p>
    <w:p w:rsidR="00605ABC" w:rsidRDefault="00605ABC" w:rsidP="009E2DA8">
      <w:pPr>
        <w:pStyle w:val="FarbigeListe-Akzent11"/>
        <w:numPr>
          <w:ilvl w:val="0"/>
          <w:numId w:val="5"/>
        </w:numPr>
        <w:pBdr>
          <w:top w:val="nil"/>
          <w:left w:val="nil"/>
          <w:bottom w:val="nil"/>
          <w:right w:val="nil"/>
          <w:between w:val="nil"/>
          <w:bar w:val="nil"/>
        </w:pBdr>
        <w:spacing w:after="0" w:line="240" w:lineRule="auto"/>
        <w:contextualSpacing w:val="0"/>
        <w:rPr>
          <w:rFonts w:cs="Calibri"/>
        </w:rPr>
      </w:pPr>
      <w:r>
        <w:rPr>
          <w:rFonts w:cs="Calibri"/>
        </w:rPr>
        <w:t>neue Rollen der Lehrkraft in individualisierten medialen Lernkontexten</w:t>
      </w:r>
    </w:p>
    <w:p w:rsidR="00605ABC" w:rsidRDefault="00605ABC" w:rsidP="009E2DA8">
      <w:pPr>
        <w:pStyle w:val="FarbigeListe-Akzent11"/>
        <w:numPr>
          <w:ilvl w:val="0"/>
          <w:numId w:val="5"/>
        </w:numPr>
        <w:pBdr>
          <w:top w:val="nil"/>
          <w:left w:val="nil"/>
          <w:bottom w:val="nil"/>
          <w:right w:val="nil"/>
          <w:between w:val="nil"/>
          <w:bar w:val="nil"/>
        </w:pBdr>
        <w:spacing w:after="0" w:line="240" w:lineRule="auto"/>
        <w:contextualSpacing w:val="0"/>
        <w:rPr>
          <w:rFonts w:cs="Calibri"/>
        </w:rPr>
      </w:pPr>
      <w:r>
        <w:rPr>
          <w:rFonts w:cs="Calibri"/>
        </w:rPr>
        <w:t>Lerner zwischen selbstgesteuertem und inzidentellem Lernen durch Kommunikationstechnologie</w:t>
      </w:r>
    </w:p>
    <w:p w:rsidR="00605ABC" w:rsidRDefault="00605ABC" w:rsidP="009E2DA8">
      <w:pPr>
        <w:pStyle w:val="FarbigeListe-Akzent11"/>
        <w:numPr>
          <w:ilvl w:val="0"/>
          <w:numId w:val="5"/>
        </w:numPr>
        <w:pBdr>
          <w:top w:val="nil"/>
          <w:left w:val="nil"/>
          <w:bottom w:val="nil"/>
          <w:right w:val="nil"/>
          <w:between w:val="nil"/>
          <w:bar w:val="nil"/>
        </w:pBdr>
        <w:spacing w:after="0" w:line="240" w:lineRule="auto"/>
        <w:contextualSpacing w:val="0"/>
        <w:rPr>
          <w:rFonts w:cs="Calibri"/>
        </w:rPr>
      </w:pPr>
      <w:r>
        <w:rPr>
          <w:rFonts w:cs="Calibri"/>
        </w:rPr>
        <w:t>Gelegenheiten zu differenziertem Lernen in inklusiven Settings durch digitale Medien</w:t>
      </w:r>
    </w:p>
    <w:p w:rsidR="00605ABC" w:rsidRDefault="00605ABC" w:rsidP="00605ABC">
      <w:pPr>
        <w:pStyle w:val="FarbigeListe-Akzent11"/>
        <w:ind w:left="1080"/>
        <w:rPr>
          <w:rFonts w:cs="Calibri"/>
        </w:rPr>
      </w:pPr>
    </w:p>
    <w:p w:rsidR="00605ABC" w:rsidRDefault="00605ABC" w:rsidP="00605ABC">
      <w:pPr>
        <w:pStyle w:val="FarbigeListe-Akzent11"/>
        <w:ind w:left="0"/>
        <w:rPr>
          <w:rFonts w:cs="Calibri"/>
        </w:rPr>
      </w:pPr>
      <w:r>
        <w:rPr>
          <w:rFonts w:cs="Calibri"/>
        </w:rPr>
        <w:t xml:space="preserve">Schließlich ist noch eine dritte Gruppe zu erwähnen, und zwar die des „Nachmittagsmarkts für außerschulisches Lernen“, der sowohl Nachhilfe als auch eigeninitiiertes Lernen von Fremdsprachen mit zumeist nicht kontrolliertem Sprachmaterial umfasst, das per Apps angeboten wird. </w:t>
      </w:r>
    </w:p>
    <w:p w:rsidR="00605ABC" w:rsidRDefault="00605ABC" w:rsidP="00605ABC">
      <w:pPr>
        <w:rPr>
          <w:rFonts w:cs="Calibri"/>
        </w:rPr>
      </w:pPr>
      <w:r>
        <w:rPr>
          <w:rFonts w:cs="Calibri"/>
        </w:rPr>
        <w:t xml:space="preserve">Mit dieser Unterteilung der Lernorte und -räume greifen wir die in Reinders‘ und Bensons 2017er Artikel „Research </w:t>
      </w:r>
      <w:proofErr w:type="spellStart"/>
      <w:r>
        <w:rPr>
          <w:rFonts w:cs="Calibri"/>
        </w:rPr>
        <w:t>agenda</w:t>
      </w:r>
      <w:proofErr w:type="spellEnd"/>
      <w:r>
        <w:rPr>
          <w:rFonts w:cs="Calibri"/>
        </w:rPr>
        <w:t xml:space="preserve">: Language </w:t>
      </w:r>
      <w:proofErr w:type="spellStart"/>
      <w:r>
        <w:rPr>
          <w:rFonts w:cs="Calibri"/>
        </w:rPr>
        <w:t>learning</w:t>
      </w:r>
      <w:proofErr w:type="spellEnd"/>
      <w:r>
        <w:rPr>
          <w:rFonts w:cs="Calibri"/>
        </w:rPr>
        <w:t xml:space="preserve"> </w:t>
      </w:r>
      <w:proofErr w:type="spellStart"/>
      <w:r>
        <w:rPr>
          <w:rFonts w:cs="Calibri"/>
        </w:rPr>
        <w:t>beyond</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classroom</w:t>
      </w:r>
      <w:proofErr w:type="spellEnd"/>
      <w:r>
        <w:rPr>
          <w:rFonts w:cs="Calibri"/>
        </w:rPr>
        <w:t xml:space="preserve">“ vorgeschlagene Kategorisierung („Settings, Learning </w:t>
      </w:r>
      <w:proofErr w:type="spellStart"/>
      <w:r w:rsidR="009E2DA8">
        <w:rPr>
          <w:rFonts w:cs="Calibri"/>
        </w:rPr>
        <w:t>P</w:t>
      </w:r>
      <w:r>
        <w:rPr>
          <w:rFonts w:cs="Calibri"/>
        </w:rPr>
        <w:t>rocesses</w:t>
      </w:r>
      <w:proofErr w:type="spellEnd"/>
      <w:r>
        <w:rPr>
          <w:rFonts w:cs="Calibri"/>
        </w:rPr>
        <w:t xml:space="preserve">, </w:t>
      </w:r>
      <w:proofErr w:type="spellStart"/>
      <w:r>
        <w:rPr>
          <w:rFonts w:cs="Calibri"/>
        </w:rPr>
        <w:t>and</w:t>
      </w:r>
      <w:proofErr w:type="spellEnd"/>
      <w:r>
        <w:rPr>
          <w:rFonts w:cs="Calibri"/>
        </w:rPr>
        <w:t xml:space="preserve"> Teaching“) für Forschungsaufgaben auf, gehen aber auch gleichzeitig über sie hinaus. Wir unterscheiden Orte (</w:t>
      </w:r>
      <w:proofErr w:type="spellStart"/>
      <w:r>
        <w:rPr>
          <w:rFonts w:cs="Calibri"/>
        </w:rPr>
        <w:t>Where</w:t>
      </w:r>
      <w:proofErr w:type="spellEnd"/>
      <w:r>
        <w:rPr>
          <w:rFonts w:cs="Calibri"/>
        </w:rPr>
        <w:t xml:space="preserve"> </w:t>
      </w:r>
      <w:proofErr w:type="spellStart"/>
      <w:r>
        <w:rPr>
          <w:rFonts w:cs="Calibri"/>
        </w:rPr>
        <w:t>does</w:t>
      </w:r>
      <w:proofErr w:type="spellEnd"/>
      <w:r>
        <w:rPr>
          <w:rFonts w:cs="Calibri"/>
        </w:rPr>
        <w:t xml:space="preserve"> LBC </w:t>
      </w:r>
      <w:proofErr w:type="spellStart"/>
      <w:r>
        <w:rPr>
          <w:rFonts w:cs="Calibri"/>
        </w:rPr>
        <w:t>take</w:t>
      </w:r>
      <w:proofErr w:type="spellEnd"/>
      <w:r>
        <w:rPr>
          <w:rFonts w:cs="Calibri"/>
        </w:rPr>
        <w:t xml:space="preserve"> </w:t>
      </w:r>
      <w:proofErr w:type="spellStart"/>
      <w:r>
        <w:rPr>
          <w:rFonts w:cs="Calibri"/>
        </w:rPr>
        <w:t>place</w:t>
      </w:r>
      <w:proofErr w:type="spellEnd"/>
      <w:r>
        <w:rPr>
          <w:rFonts w:cs="Calibri"/>
        </w:rPr>
        <w:t>?), diskutieren (didaktisch-)methodische Aspekte (</w:t>
      </w:r>
      <w:proofErr w:type="spellStart"/>
      <w:r>
        <w:rPr>
          <w:rFonts w:cs="Calibri"/>
        </w:rPr>
        <w:t>How</w:t>
      </w:r>
      <w:proofErr w:type="spellEnd"/>
      <w:r>
        <w:rPr>
          <w:rFonts w:cs="Calibri"/>
        </w:rPr>
        <w:t xml:space="preserve"> </w:t>
      </w:r>
      <w:proofErr w:type="spellStart"/>
      <w:r>
        <w:rPr>
          <w:rFonts w:cs="Calibri"/>
        </w:rPr>
        <w:t>does</w:t>
      </w:r>
      <w:proofErr w:type="spellEnd"/>
      <w:r>
        <w:rPr>
          <w:rFonts w:cs="Calibri"/>
        </w:rPr>
        <w:t xml:space="preserve"> </w:t>
      </w:r>
      <w:proofErr w:type="spellStart"/>
      <w:r>
        <w:rPr>
          <w:rFonts w:cs="Calibri"/>
        </w:rPr>
        <w:t>it</w:t>
      </w:r>
      <w:proofErr w:type="spellEnd"/>
      <w:r>
        <w:rPr>
          <w:rFonts w:cs="Calibri"/>
        </w:rPr>
        <w:t xml:space="preserve"> </w:t>
      </w:r>
      <w:proofErr w:type="spellStart"/>
      <w:r>
        <w:rPr>
          <w:rFonts w:cs="Calibri"/>
        </w:rPr>
        <w:t>take</w:t>
      </w:r>
      <w:proofErr w:type="spellEnd"/>
      <w:r>
        <w:rPr>
          <w:rFonts w:cs="Calibri"/>
        </w:rPr>
        <w:t xml:space="preserve"> </w:t>
      </w:r>
      <w:proofErr w:type="spellStart"/>
      <w:r>
        <w:rPr>
          <w:rFonts w:cs="Calibri"/>
        </w:rPr>
        <w:t>place</w:t>
      </w:r>
      <w:proofErr w:type="spellEnd"/>
      <w:r>
        <w:rPr>
          <w:rFonts w:cs="Calibri"/>
        </w:rPr>
        <w:t>?) und wenden uns den Lehrkräften zu (</w:t>
      </w:r>
      <w:proofErr w:type="spellStart"/>
      <w:r>
        <w:rPr>
          <w:rFonts w:cs="Calibri"/>
        </w:rPr>
        <w:t>How</w:t>
      </w:r>
      <w:proofErr w:type="spellEnd"/>
      <w:r>
        <w:rPr>
          <w:rFonts w:cs="Calibri"/>
        </w:rPr>
        <w:t xml:space="preserve"> </w:t>
      </w:r>
      <w:proofErr w:type="spellStart"/>
      <w:r>
        <w:rPr>
          <w:rFonts w:cs="Calibri"/>
        </w:rPr>
        <w:t>should</w:t>
      </w:r>
      <w:proofErr w:type="spellEnd"/>
      <w:r>
        <w:rPr>
          <w:rFonts w:cs="Calibri"/>
        </w:rPr>
        <w:t xml:space="preserve"> </w:t>
      </w:r>
      <w:proofErr w:type="spellStart"/>
      <w:r>
        <w:rPr>
          <w:rFonts w:cs="Calibri"/>
        </w:rPr>
        <w:t>teachers</w:t>
      </w:r>
      <w:proofErr w:type="spellEnd"/>
      <w:r>
        <w:rPr>
          <w:rFonts w:cs="Calibri"/>
        </w:rPr>
        <w:t xml:space="preserve"> </w:t>
      </w:r>
      <w:proofErr w:type="spellStart"/>
      <w:r>
        <w:rPr>
          <w:rFonts w:cs="Calibri"/>
        </w:rPr>
        <w:t>be</w:t>
      </w:r>
      <w:proofErr w:type="spellEnd"/>
      <w:r>
        <w:rPr>
          <w:rFonts w:cs="Calibri"/>
        </w:rPr>
        <w:t xml:space="preserve"> </w:t>
      </w:r>
      <w:proofErr w:type="spellStart"/>
      <w:r>
        <w:rPr>
          <w:rFonts w:cs="Calibri"/>
        </w:rPr>
        <w:t>involved</w:t>
      </w:r>
      <w:proofErr w:type="spellEnd"/>
      <w:r>
        <w:rPr>
          <w:rFonts w:cs="Calibri"/>
        </w:rPr>
        <w:t xml:space="preserve">?). Schließlich stellen wir aber als zusätzlichen Punkt die Lernenden </w:t>
      </w:r>
      <w:r>
        <w:rPr>
          <w:rFonts w:cs="Calibri"/>
        </w:rPr>
        <w:lastRenderedPageBreak/>
        <w:t>in den Mittelpunkt, wenn es um z.B. selbstgesteuertes vs. inzidentelles Lernen geht, oder wenn es gilt, die Wahrnehmung der Angebote des „Nachmittagsmarkts“ zu reflektieren.</w:t>
      </w:r>
    </w:p>
    <w:p w:rsidR="00605ABC" w:rsidRDefault="00605ABC" w:rsidP="00605ABC">
      <w:pPr>
        <w:rPr>
          <w:rFonts w:cs="Calibri"/>
        </w:rPr>
      </w:pPr>
      <w:r>
        <w:rPr>
          <w:rFonts w:cs="Calibri"/>
        </w:rPr>
        <w:t>Wir freuen uns über Abstracts, die unserer Auffächerung des Themas folgen, sind aber auch offen für weitere Perspektiven.</w:t>
      </w:r>
    </w:p>
    <w:p w:rsidR="00D22897" w:rsidRDefault="00D22897" w:rsidP="00D22897">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D22897" w:rsidRDefault="00D22897" w:rsidP="00D22897">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p>
    <w:p w:rsidR="00C34368" w:rsidRDefault="00C34368" w:rsidP="00605ABC">
      <w:bookmarkStart w:id="0" w:name="_GoBack"/>
      <w:bookmarkEnd w:id="0"/>
    </w:p>
    <w:sectPr w:rsidR="00C343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E1348"/>
    <w:multiLevelType w:val="hybridMultilevel"/>
    <w:tmpl w:val="A634C85C"/>
    <w:numStyleLink w:val="ImportierterStil1"/>
  </w:abstractNum>
  <w:abstractNum w:abstractNumId="1">
    <w:nsid w:val="18E366C6"/>
    <w:multiLevelType w:val="hybridMultilevel"/>
    <w:tmpl w:val="30940B3E"/>
    <w:lvl w:ilvl="0" w:tplc="04070001">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2F019A0">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AB4CA24">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D484266">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CB64236">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2D6E988">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038A790">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D1507FBA">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5206868">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26F3000B"/>
    <w:multiLevelType w:val="hybridMultilevel"/>
    <w:tmpl w:val="A634C85C"/>
    <w:styleLink w:val="ImportierterStil1"/>
    <w:lvl w:ilvl="0" w:tplc="04242202">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ABA4AC0">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4B00E5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CA7740">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F0ED64">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6766604">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3EEC79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2F6CE30">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F609D94">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3FAB4D05"/>
    <w:multiLevelType w:val="hybridMultilevel"/>
    <w:tmpl w:val="8EE8E0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0550C8"/>
    <w:rsid w:val="001517E7"/>
    <w:rsid w:val="00272867"/>
    <w:rsid w:val="002C0AD2"/>
    <w:rsid w:val="004E2FCC"/>
    <w:rsid w:val="00501B5E"/>
    <w:rsid w:val="00595257"/>
    <w:rsid w:val="00605ABC"/>
    <w:rsid w:val="00772B3C"/>
    <w:rsid w:val="00783673"/>
    <w:rsid w:val="00804B1B"/>
    <w:rsid w:val="009E2DA8"/>
    <w:rsid w:val="00A53A6E"/>
    <w:rsid w:val="00A55B84"/>
    <w:rsid w:val="00A6378A"/>
    <w:rsid w:val="00AA4474"/>
    <w:rsid w:val="00AD5108"/>
    <w:rsid w:val="00BA7BCF"/>
    <w:rsid w:val="00C34368"/>
    <w:rsid w:val="00D22897"/>
    <w:rsid w:val="00D60189"/>
    <w:rsid w:val="00D80162"/>
    <w:rsid w:val="00E65920"/>
    <w:rsid w:val="00F44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qFormat/>
    <w:rsid w:val="00C34368"/>
    <w:pPr>
      <w:ind w:left="720"/>
      <w:contextualSpacing/>
    </w:pPr>
  </w:style>
  <w:style w:type="numbering" w:customStyle="1" w:styleId="ImportierterStil1">
    <w:name w:val="Importierter Stil: 1"/>
    <w:rsid w:val="00605ABC"/>
    <w:pPr>
      <w:numPr>
        <w:numId w:val="3"/>
      </w:numPr>
    </w:pPr>
  </w:style>
  <w:style w:type="character" w:styleId="Kommentarzeichen">
    <w:name w:val="annotation reference"/>
    <w:uiPriority w:val="99"/>
    <w:semiHidden/>
    <w:unhideWhenUsed/>
    <w:rsid w:val="00501B5E"/>
    <w:rPr>
      <w:sz w:val="18"/>
      <w:szCs w:val="18"/>
    </w:rPr>
  </w:style>
  <w:style w:type="paragraph" w:styleId="Kommentartext">
    <w:name w:val="annotation text"/>
    <w:basedOn w:val="Standard"/>
    <w:link w:val="KommentartextZchn"/>
    <w:uiPriority w:val="99"/>
    <w:semiHidden/>
    <w:unhideWhenUsed/>
    <w:rsid w:val="00501B5E"/>
    <w:pPr>
      <w:spacing w:line="240" w:lineRule="auto"/>
    </w:pPr>
    <w:rPr>
      <w:sz w:val="24"/>
      <w:szCs w:val="24"/>
    </w:rPr>
  </w:style>
  <w:style w:type="character" w:customStyle="1" w:styleId="KommentartextZchn">
    <w:name w:val="Kommentartext Zchn"/>
    <w:link w:val="Kommentartext"/>
    <w:uiPriority w:val="99"/>
    <w:semiHidden/>
    <w:rsid w:val="00501B5E"/>
    <w:rPr>
      <w:sz w:val="24"/>
      <w:szCs w:val="24"/>
    </w:rPr>
  </w:style>
  <w:style w:type="paragraph" w:styleId="Kommentarthema">
    <w:name w:val="annotation subject"/>
    <w:basedOn w:val="Kommentartext"/>
    <w:next w:val="Kommentartext"/>
    <w:link w:val="KommentarthemaZchn"/>
    <w:uiPriority w:val="99"/>
    <w:semiHidden/>
    <w:unhideWhenUsed/>
    <w:rsid w:val="00501B5E"/>
    <w:rPr>
      <w:b/>
      <w:bCs/>
      <w:sz w:val="20"/>
      <w:szCs w:val="20"/>
    </w:rPr>
  </w:style>
  <w:style w:type="character" w:customStyle="1" w:styleId="KommentarthemaZchn">
    <w:name w:val="Kommentarthema Zchn"/>
    <w:link w:val="Kommentarthema"/>
    <w:uiPriority w:val="99"/>
    <w:semiHidden/>
    <w:rsid w:val="00501B5E"/>
    <w:rPr>
      <w:b/>
      <w:bCs/>
      <w:sz w:val="20"/>
      <w:szCs w:val="20"/>
    </w:rPr>
  </w:style>
  <w:style w:type="paragraph" w:styleId="Sprechblasentext">
    <w:name w:val="Balloon Text"/>
    <w:basedOn w:val="Standard"/>
    <w:link w:val="SprechblasentextZchn"/>
    <w:uiPriority w:val="99"/>
    <w:semiHidden/>
    <w:unhideWhenUsed/>
    <w:rsid w:val="00501B5E"/>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501B5E"/>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24605">
      <w:bodyDiv w:val="1"/>
      <w:marLeft w:val="0"/>
      <w:marRight w:val="0"/>
      <w:marTop w:val="0"/>
      <w:marBottom w:val="0"/>
      <w:divBdr>
        <w:top w:val="none" w:sz="0" w:space="0" w:color="auto"/>
        <w:left w:val="none" w:sz="0" w:space="0" w:color="auto"/>
        <w:bottom w:val="none" w:sz="0" w:space="0" w:color="auto"/>
        <w:right w:val="none" w:sz="0" w:space="0" w:color="auto"/>
      </w:divBdr>
    </w:div>
    <w:div w:id="1423914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Words>
  <Characters>3368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6</cp:revision>
  <dcterms:created xsi:type="dcterms:W3CDTF">2018-09-04T11:56:00Z</dcterms:created>
  <dcterms:modified xsi:type="dcterms:W3CDTF">2018-09-04T12:06:00Z</dcterms:modified>
</cp:coreProperties>
</file>